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43" w:rsidRDefault="00EA1038">
      <w:pPr>
        <w:pStyle w:val="Ttulo11"/>
        <w:numPr>
          <w:ilvl w:val="0"/>
          <w:numId w:val="3"/>
        </w:numPr>
        <w:ind w:lef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67715" cy="7480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B43" w:rsidRDefault="00EA1038">
      <w:pPr>
        <w:pStyle w:val="Ttulo11"/>
        <w:numPr>
          <w:ilvl w:val="0"/>
          <w:numId w:val="3"/>
        </w:numPr>
        <w:ind w:left="0" w:firstLine="0"/>
        <w:jc w:val="center"/>
      </w:pPr>
      <w:r>
        <w:t>MINISTÉRIO DA EDUCAÇÃO</w:t>
      </w:r>
    </w:p>
    <w:p w:rsidR="00C53B43" w:rsidRDefault="00EA1038">
      <w:pPr>
        <w:pStyle w:val="LO-normal"/>
        <w:jc w:val="center"/>
        <w:rPr>
          <w:b/>
        </w:rPr>
      </w:pPr>
      <w:r>
        <w:rPr>
          <w:b/>
        </w:rPr>
        <w:t>SECRETARIA DE EDUCAÇÃO PROFISSIONAL E TECNOLÓGICA</w:t>
      </w:r>
    </w:p>
    <w:p w:rsidR="00C53B43" w:rsidRDefault="00EA1038">
      <w:pPr>
        <w:pStyle w:val="LO-normal"/>
        <w:jc w:val="center"/>
        <w:rPr>
          <w:b/>
        </w:rPr>
      </w:pPr>
      <w:r>
        <w:rPr>
          <w:b/>
        </w:rPr>
        <w:t>IFSULDEMINAS – CAMPUS MACHADO</w:t>
      </w:r>
    </w:p>
    <w:p w:rsidR="00C53B43" w:rsidRDefault="00C53B43">
      <w:pPr>
        <w:pStyle w:val="LO-normal"/>
        <w:spacing w:after="120"/>
        <w:jc w:val="center"/>
        <w:rPr>
          <w:b/>
          <w:color w:val="000000"/>
          <w:sz w:val="22"/>
          <w:szCs w:val="22"/>
        </w:rPr>
      </w:pPr>
    </w:p>
    <w:p w:rsidR="00C53B43" w:rsidRDefault="00C53B43">
      <w:pPr>
        <w:pStyle w:val="LO-normal"/>
        <w:spacing w:after="120"/>
        <w:jc w:val="center"/>
        <w:rPr>
          <w:b/>
          <w:color w:val="000000"/>
          <w:sz w:val="22"/>
          <w:szCs w:val="22"/>
        </w:rPr>
      </w:pPr>
    </w:p>
    <w:p w:rsidR="00C53B43" w:rsidRDefault="00EA1038">
      <w:pPr>
        <w:pStyle w:val="LO-normal"/>
        <w:jc w:val="center"/>
      </w:pPr>
      <w:r>
        <w:rPr>
          <w:b/>
        </w:rPr>
        <w:t>ANEXO III – MEMORIAL DE CÁLCULO – COPA E COZINHA</w:t>
      </w:r>
    </w:p>
    <w:p w:rsidR="00C53B43" w:rsidRDefault="00C53B43">
      <w:pPr>
        <w:pStyle w:val="LO-normal"/>
        <w:spacing w:after="120"/>
        <w:rPr>
          <w:b/>
          <w:color w:val="000000"/>
          <w:sz w:val="20"/>
          <w:szCs w:val="20"/>
        </w:rPr>
      </w:pPr>
    </w:p>
    <w:p w:rsidR="00C53B43" w:rsidRDefault="00C53B43">
      <w:pPr>
        <w:pStyle w:val="LO-normal"/>
        <w:spacing w:before="2"/>
        <w:rPr>
          <w:b/>
          <w:color w:val="000000"/>
          <w:sz w:val="20"/>
          <w:szCs w:val="20"/>
        </w:rPr>
      </w:pPr>
    </w:p>
    <w:p w:rsidR="00C53B43" w:rsidRDefault="00EA1038">
      <w:pPr>
        <w:pStyle w:val="LO-normal"/>
        <w:spacing w:line="360" w:lineRule="auto"/>
      </w:pPr>
      <w:r>
        <w:rPr>
          <w:b/>
        </w:rPr>
        <w:t xml:space="preserve">Referência: Pregão nº </w:t>
      </w:r>
      <w:r>
        <w:rPr>
          <w:b/>
          <w:color w:val="C9211E"/>
        </w:rPr>
        <w:t>XX</w:t>
      </w:r>
      <w:r>
        <w:rPr>
          <w:b/>
        </w:rPr>
        <w:t>/2021</w:t>
      </w:r>
    </w:p>
    <w:p w:rsidR="00C53B43" w:rsidRDefault="00EA1038">
      <w:pPr>
        <w:pStyle w:val="LO-normal"/>
        <w:spacing w:line="360" w:lineRule="auto"/>
      </w:pPr>
      <w:r>
        <w:rPr>
          <w:b/>
        </w:rPr>
        <w:t xml:space="preserve">Processo nº: </w:t>
      </w:r>
      <w:r>
        <w:rPr>
          <w:b/>
          <w:color w:val="C9211E"/>
        </w:rPr>
        <w:t>XXXXXXX</w:t>
      </w:r>
    </w:p>
    <w:p w:rsidR="00C53B43" w:rsidRDefault="00C53B43">
      <w:pPr>
        <w:pStyle w:val="LO-normal"/>
        <w:ind w:left="4396"/>
        <w:rPr>
          <w:b/>
        </w:rPr>
      </w:pPr>
    </w:p>
    <w:p w:rsidR="00C53B43" w:rsidRDefault="00EA1038">
      <w:pPr>
        <w:pStyle w:val="LO-normal"/>
        <w:ind w:left="4396"/>
        <w:rPr>
          <w:b/>
        </w:rPr>
      </w:pPr>
      <w:r>
        <w:rPr>
          <w:b/>
        </w:rPr>
        <w:t>Referências:</w:t>
      </w:r>
    </w:p>
    <w:p w:rsidR="00C53B43" w:rsidRDefault="00C53B43">
      <w:pPr>
        <w:pStyle w:val="LO-normal"/>
        <w:spacing w:after="170"/>
        <w:ind w:left="1429"/>
        <w:rPr>
          <w:color w:val="000000"/>
        </w:rPr>
      </w:pPr>
    </w:p>
    <w:p w:rsidR="00C53B43" w:rsidRDefault="00EA1038">
      <w:pPr>
        <w:pStyle w:val="LO-normal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Nota Técnica nº 001/2013 – </w:t>
      </w:r>
      <w:r>
        <w:rPr>
          <w:color w:val="000000"/>
        </w:rPr>
        <w:t>Conselho da Justiça Federal;</w:t>
      </w:r>
    </w:p>
    <w:p w:rsidR="00C53B43" w:rsidRDefault="00EA1038">
      <w:pPr>
        <w:pStyle w:val="LO-normal"/>
        <w:numPr>
          <w:ilvl w:val="0"/>
          <w:numId w:val="1"/>
        </w:numPr>
        <w:tabs>
          <w:tab w:val="left" w:pos="202"/>
        </w:tabs>
        <w:spacing w:line="360" w:lineRule="auto"/>
        <w:rPr>
          <w:color w:val="000000"/>
        </w:rPr>
      </w:pPr>
      <w:r>
        <w:rPr>
          <w:color w:val="000000"/>
        </w:rPr>
        <w:t>Lei Complementar Municipal nº 75/2011;</w:t>
      </w:r>
    </w:p>
    <w:p w:rsidR="00C53B43" w:rsidRDefault="00EA1038">
      <w:pPr>
        <w:pStyle w:val="LO-normal"/>
        <w:numPr>
          <w:ilvl w:val="0"/>
          <w:numId w:val="1"/>
        </w:numPr>
        <w:tabs>
          <w:tab w:val="left" w:pos="202"/>
        </w:tabs>
        <w:spacing w:line="360" w:lineRule="auto"/>
        <w:rPr>
          <w:color w:val="000000"/>
        </w:rPr>
      </w:pPr>
      <w:r>
        <w:rPr>
          <w:color w:val="000000"/>
        </w:rPr>
        <w:t xml:space="preserve">Decreto Municipal (Machado/MG) nº </w:t>
      </w:r>
      <w:r>
        <w:rPr>
          <w:highlight w:val="white"/>
        </w:rPr>
        <w:t>6.248/2019</w:t>
      </w:r>
      <w:r>
        <w:rPr>
          <w:color w:val="000000"/>
          <w:highlight w:val="white"/>
        </w:rPr>
        <w:t>;</w:t>
      </w:r>
    </w:p>
    <w:p w:rsidR="00C53B43" w:rsidRDefault="00EA1038">
      <w:pPr>
        <w:pStyle w:val="LO-normal"/>
        <w:numPr>
          <w:ilvl w:val="0"/>
          <w:numId w:val="1"/>
        </w:numPr>
        <w:tabs>
          <w:tab w:val="left" w:pos="202"/>
        </w:tabs>
        <w:spacing w:line="360" w:lineRule="auto"/>
        <w:rPr>
          <w:color w:val="000000"/>
        </w:rPr>
      </w:pPr>
      <w:r>
        <w:rPr>
          <w:color w:val="000000"/>
        </w:rPr>
        <w:t>Instrução Normativa SEGES/MPDG nº 05/2017;</w:t>
      </w:r>
    </w:p>
    <w:p w:rsidR="00C53B43" w:rsidRDefault="00EA1038">
      <w:pPr>
        <w:pStyle w:val="LO-normal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Convenções Coletivas de Trabalho (</w:t>
      </w:r>
      <w:proofErr w:type="spellStart"/>
      <w:r>
        <w:rPr>
          <w:color w:val="000000"/>
        </w:rPr>
        <w:t>CCTs</w:t>
      </w:r>
      <w:proofErr w:type="spellEnd"/>
      <w:r>
        <w:rPr>
          <w:color w:val="000000"/>
        </w:rPr>
        <w:t>):</w:t>
      </w:r>
    </w:p>
    <w:p w:rsidR="00C53B43" w:rsidRDefault="00EA1038">
      <w:pPr>
        <w:pStyle w:val="LO-normal"/>
        <w:numPr>
          <w:ilvl w:val="0"/>
          <w:numId w:val="2"/>
        </w:numPr>
        <w:spacing w:after="170"/>
        <w:jc w:val="both"/>
      </w:pPr>
      <w:bookmarkStart w:id="1" w:name="1fob9te"/>
      <w:bookmarkEnd w:id="1"/>
      <w:r>
        <w:rPr>
          <w:sz w:val="22"/>
          <w:szCs w:val="22"/>
        </w:rPr>
        <w:t xml:space="preserve">Sindicato </w:t>
      </w:r>
      <w:proofErr w:type="spellStart"/>
      <w:r>
        <w:rPr>
          <w:sz w:val="22"/>
          <w:szCs w:val="22"/>
        </w:rPr>
        <w:t>Trabs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Inds</w:t>
      </w:r>
      <w:proofErr w:type="spellEnd"/>
      <w:r>
        <w:rPr>
          <w:sz w:val="22"/>
          <w:szCs w:val="22"/>
        </w:rPr>
        <w:t xml:space="preserve"> Alimentação de P. Caldas </w:t>
      </w:r>
      <w:proofErr w:type="spellStart"/>
      <w:r>
        <w:rPr>
          <w:sz w:val="22"/>
          <w:szCs w:val="22"/>
        </w:rPr>
        <w:t>Ands</w:t>
      </w:r>
      <w:proofErr w:type="spellEnd"/>
      <w:r>
        <w:rPr>
          <w:sz w:val="22"/>
          <w:szCs w:val="22"/>
        </w:rPr>
        <w:t xml:space="preserve">. Macha., Federação Democrática dos Trabalhadores nas Indústrias de Alimentação Panificação Confeitarias e Massas alimentícias do Estado de Minas Gerais e </w:t>
      </w:r>
      <w:proofErr w:type="spellStart"/>
      <w:r>
        <w:rPr>
          <w:sz w:val="22"/>
          <w:szCs w:val="22"/>
        </w:rPr>
        <w:t>Sind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</w:t>
      </w:r>
      <w:proofErr w:type="spellEnd"/>
      <w:r>
        <w:rPr>
          <w:sz w:val="22"/>
          <w:szCs w:val="22"/>
        </w:rPr>
        <w:t xml:space="preserve"> Massas </w:t>
      </w:r>
      <w:proofErr w:type="spellStart"/>
      <w:r>
        <w:rPr>
          <w:sz w:val="22"/>
          <w:szCs w:val="22"/>
        </w:rPr>
        <w:t>Aliment</w:t>
      </w:r>
      <w:proofErr w:type="spellEnd"/>
      <w:r>
        <w:rPr>
          <w:sz w:val="22"/>
          <w:szCs w:val="22"/>
        </w:rPr>
        <w:t xml:space="preserve"> S Minas;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Nº do Registro no MTE: MG000</w:t>
      </w:r>
      <w:r>
        <w:rPr>
          <w:color w:val="000000"/>
          <w:sz w:val="22"/>
          <w:szCs w:val="22"/>
        </w:rPr>
        <w:t>529</w:t>
      </w:r>
      <w:r>
        <w:rPr>
          <w:color w:val="000000"/>
          <w:sz w:val="22"/>
          <w:szCs w:val="22"/>
        </w:rPr>
        <w:t>/2021</w:t>
      </w:r>
      <w:r>
        <w:rPr>
          <w:sz w:val="22"/>
          <w:szCs w:val="22"/>
        </w:rPr>
        <w:t>; Vigência da convenção: 01/01/2021 a 31/12/2021. (Padeiro)</w:t>
      </w:r>
    </w:p>
    <w:p w:rsidR="00C53B43" w:rsidRDefault="00EA1038">
      <w:pPr>
        <w:pStyle w:val="LO-normal"/>
        <w:numPr>
          <w:ilvl w:val="0"/>
          <w:numId w:val="2"/>
        </w:numPr>
        <w:spacing w:after="170"/>
        <w:jc w:val="both"/>
      </w:pPr>
      <w:bookmarkStart w:id="2" w:name="17dp8vu"/>
      <w:bookmarkEnd w:id="2"/>
      <w:r>
        <w:rPr>
          <w:color w:val="000000"/>
          <w:sz w:val="22"/>
          <w:szCs w:val="22"/>
        </w:rPr>
        <w:t>Sindicato das Empresas de Refeições Coletivas do Estado de Minas Gerais e Sindicato Empregados em Empresas de Refeições Coletivas de MG. Nº do Registro no MTE:</w:t>
      </w:r>
      <w:r>
        <w:rPr>
          <w:color w:val="000000"/>
          <w:sz w:val="22"/>
          <w:szCs w:val="22"/>
        </w:rPr>
        <w:t xml:space="preserve"> MG000</w:t>
      </w:r>
      <w:r>
        <w:rPr>
          <w:color w:val="000000"/>
          <w:sz w:val="22"/>
          <w:szCs w:val="22"/>
        </w:rPr>
        <w:t>892</w:t>
      </w:r>
      <w:r>
        <w:rPr>
          <w:color w:val="000000"/>
          <w:sz w:val="22"/>
          <w:szCs w:val="22"/>
        </w:rPr>
        <w:t xml:space="preserve">/2021. Vigência da convenção: 01/01/2021 a 31/12/2021. (Auxiliar de cozinha e cozinheiro) </w:t>
      </w:r>
    </w:p>
    <w:p w:rsidR="00C53B43" w:rsidRDefault="00C53B43">
      <w:pPr>
        <w:pStyle w:val="LO-normal"/>
        <w:spacing w:after="170"/>
        <w:ind w:left="360"/>
        <w:jc w:val="both"/>
      </w:pPr>
      <w:bookmarkStart w:id="3" w:name="__DdeLink__849_3402670811"/>
      <w:bookmarkEnd w:id="3"/>
    </w:p>
    <w:p w:rsidR="00C53B43" w:rsidRDefault="00EA1038">
      <w:pPr>
        <w:pStyle w:val="Ttulo21"/>
        <w:numPr>
          <w:ilvl w:val="1"/>
          <w:numId w:val="3"/>
        </w:numPr>
        <w:spacing w:line="360" w:lineRule="auto"/>
        <w:ind w:left="975" w:right="1530" w:firstLine="0"/>
        <w:jc w:val="center"/>
        <w:rPr>
          <w:i w:val="0"/>
        </w:rPr>
      </w:pPr>
      <w:r>
        <w:rPr>
          <w:i w:val="0"/>
        </w:rPr>
        <w:t>Alguns Parâmetros</w:t>
      </w:r>
    </w:p>
    <w:p w:rsidR="00C53B43" w:rsidRDefault="00EA1038">
      <w:pPr>
        <w:pStyle w:val="LO-normal"/>
        <w:spacing w:line="360" w:lineRule="auto"/>
        <w:ind w:left="1134"/>
        <w:rPr>
          <w:color w:val="000000"/>
        </w:rPr>
      </w:pPr>
      <w:r>
        <w:rPr>
          <w:b/>
          <w:color w:val="000000"/>
        </w:rPr>
        <w:t>Total de dias trabalhados por mês</w:t>
      </w:r>
    </w:p>
    <w:p w:rsidR="00C53B43" w:rsidRDefault="00EA1038">
      <w:pPr>
        <w:pStyle w:val="LO-normal"/>
        <w:numPr>
          <w:ilvl w:val="2"/>
          <w:numId w:val="4"/>
        </w:numPr>
        <w:spacing w:line="360" w:lineRule="auto"/>
        <w:ind w:left="-12" w:firstLine="452"/>
        <w:rPr>
          <w:color w:val="000000"/>
        </w:rPr>
      </w:pPr>
      <w:r>
        <w:rPr>
          <w:color w:val="000000"/>
        </w:rPr>
        <w:t xml:space="preserve">Jornada 44 horas: Média de 26,09 dias úteis, sendo 4,35 dias sábados mês e 4,35 dias domingos mês. </w:t>
      </w:r>
      <w:r>
        <w:rPr>
          <w:color w:val="000000"/>
        </w:rPr>
        <w:t>(Obs. Para cálculo dos benefícios: 26);</w:t>
      </w:r>
    </w:p>
    <w:p w:rsidR="00C53B43" w:rsidRDefault="00EA1038">
      <w:pPr>
        <w:pStyle w:val="LO-normal"/>
        <w:numPr>
          <w:ilvl w:val="2"/>
          <w:numId w:val="4"/>
        </w:numPr>
        <w:spacing w:line="360" w:lineRule="auto"/>
        <w:ind w:left="-12" w:firstLine="452"/>
        <w:rPr>
          <w:color w:val="000000"/>
        </w:rPr>
      </w:pPr>
      <w:r>
        <w:rPr>
          <w:color w:val="000000"/>
        </w:rPr>
        <w:t>Jornada 12x36: Média de 15,22 dias (Obs. Para cálculo dos benefícios: 15).</w:t>
      </w:r>
    </w:p>
    <w:p w:rsidR="00C53B43" w:rsidRDefault="00C53B43">
      <w:pPr>
        <w:pStyle w:val="LO-normal"/>
        <w:spacing w:line="360" w:lineRule="auto"/>
        <w:rPr>
          <w:color w:val="000000"/>
        </w:rPr>
      </w:pPr>
    </w:p>
    <w:p w:rsidR="00C53B43" w:rsidRDefault="00EA1038">
      <w:pPr>
        <w:pStyle w:val="LO-normal"/>
        <w:spacing w:line="360" w:lineRule="auto"/>
        <w:ind w:left="1134"/>
        <w:rPr>
          <w:b/>
          <w:color w:val="000000"/>
        </w:rPr>
      </w:pPr>
      <w:r>
        <w:rPr>
          <w:b/>
          <w:color w:val="000000"/>
        </w:rPr>
        <w:t>Total de horas trabalhadas por mês</w:t>
      </w:r>
    </w:p>
    <w:p w:rsidR="00C53B43" w:rsidRDefault="00EA1038">
      <w:pPr>
        <w:pStyle w:val="LO-normal"/>
        <w:numPr>
          <w:ilvl w:val="2"/>
          <w:numId w:val="4"/>
        </w:numPr>
        <w:spacing w:line="360" w:lineRule="auto"/>
        <w:ind w:left="-12" w:firstLine="452"/>
        <w:rPr>
          <w:color w:val="000000"/>
        </w:rPr>
      </w:pPr>
      <w:r>
        <w:rPr>
          <w:color w:val="000000"/>
        </w:rPr>
        <w:t>Jornada 44 horas: 220 horas;</w:t>
      </w:r>
    </w:p>
    <w:p w:rsidR="00C53B43" w:rsidRDefault="00EA1038">
      <w:pPr>
        <w:pStyle w:val="LO-normal"/>
        <w:numPr>
          <w:ilvl w:val="2"/>
          <w:numId w:val="4"/>
        </w:numPr>
        <w:spacing w:line="360" w:lineRule="auto"/>
        <w:ind w:left="-12" w:firstLine="452"/>
        <w:rPr>
          <w:color w:val="000000"/>
        </w:rPr>
      </w:pPr>
      <w:r>
        <w:rPr>
          <w:color w:val="000000"/>
        </w:rPr>
        <w:t>Jornada 12x36: Na falta de orientação na CCT, 220 horas.</w:t>
      </w:r>
    </w:p>
    <w:p w:rsidR="00C53B43" w:rsidRDefault="00C53B43">
      <w:pPr>
        <w:pStyle w:val="LO-normal"/>
        <w:spacing w:line="360" w:lineRule="auto"/>
        <w:ind w:left="3021"/>
        <w:rPr>
          <w:color w:val="000000"/>
        </w:rPr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MÓDULO 1: COMPOSIÇ</w:t>
      </w:r>
      <w:r>
        <w:rPr>
          <w:b/>
          <w:color w:val="000000"/>
        </w:rPr>
        <w:t>ÃO DA REMUNERAÇÃO</w:t>
      </w:r>
    </w:p>
    <w:tbl>
      <w:tblPr>
        <w:tblW w:w="9190" w:type="dxa"/>
        <w:tblInd w:w="9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"/>
        <w:gridCol w:w="3212"/>
        <w:gridCol w:w="5503"/>
      </w:tblGrid>
      <w:tr w:rsidR="00C53B4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C53B43" w:rsidRDefault="00EA1038">
            <w:pPr>
              <w:spacing w:line="240" w:lineRule="exact"/>
            </w:pPr>
            <w:r>
              <w:rPr>
                <w:b/>
                <w:color w:val="000000"/>
              </w:rPr>
              <w:t>Composição da Remuneração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Memória de Cálculo</w:t>
            </w:r>
          </w:p>
        </w:tc>
      </w:tr>
      <w:tr w:rsidR="00C53B4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</w:pPr>
            <w:r>
              <w:rPr>
                <w:color w:val="000000"/>
              </w:rPr>
              <w:t>Salário Base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spacing w:line="240" w:lineRule="exact"/>
              <w:jc w:val="both"/>
            </w:pPr>
            <w:r>
              <w:rPr>
                <w:color w:val="000000"/>
              </w:rPr>
              <w:t>Conforme CCT do cargo, especificada no Termo de Referência (TR)</w:t>
            </w:r>
          </w:p>
        </w:tc>
      </w:tr>
      <w:tr w:rsidR="00C53B4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</w:pPr>
            <w:r>
              <w:rPr>
                <w:color w:val="000000"/>
              </w:rPr>
              <w:t>Adicional Periculosidade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spacing w:line="240" w:lineRule="exact"/>
              <w:jc w:val="both"/>
            </w:pPr>
            <w:r>
              <w:rPr>
                <w:color w:val="000000"/>
              </w:rPr>
              <w:t>Salário base * percentual descrito no TR</w:t>
            </w:r>
          </w:p>
        </w:tc>
      </w:tr>
      <w:tr w:rsidR="00C53B4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</w:pPr>
            <w:r>
              <w:rPr>
                <w:color w:val="000000"/>
              </w:rPr>
              <w:t>Adicional Insalubridade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spacing w:line="240" w:lineRule="exact"/>
              <w:jc w:val="both"/>
            </w:pPr>
            <w:r>
              <w:rPr>
                <w:color w:val="000000"/>
              </w:rPr>
              <w:t xml:space="preserve">Salário mínimo </w:t>
            </w:r>
            <w:r>
              <w:rPr>
                <w:color w:val="000000"/>
              </w:rPr>
              <w:t>vigente * percentual descrito no TR</w:t>
            </w:r>
          </w:p>
        </w:tc>
      </w:tr>
      <w:tr w:rsidR="00C53B4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</w:pPr>
            <w:r>
              <w:rPr>
                <w:color w:val="000000"/>
              </w:rPr>
              <w:t>Adicional Noturno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spacing w:line="240" w:lineRule="exact"/>
              <w:jc w:val="both"/>
            </w:pPr>
            <w:r>
              <w:rPr>
                <w:color w:val="000000"/>
              </w:rPr>
              <w:t xml:space="preserve">(((Salário base + adicional de insalubridade ou periculosidade) / horas trabalhadas mês conf. jornada) * % estipulado CCT ¹) * </w:t>
            </w:r>
            <w:proofErr w:type="spellStart"/>
            <w:r>
              <w:rPr>
                <w:color w:val="000000"/>
              </w:rPr>
              <w:t>qtde</w:t>
            </w:r>
            <w:proofErr w:type="spellEnd"/>
            <w:r>
              <w:rPr>
                <w:color w:val="000000"/>
              </w:rPr>
              <w:t xml:space="preserve"> horas noturnas contadas em relógio *  dias trabalhados mês conf. jo</w:t>
            </w:r>
            <w:r>
              <w:rPr>
                <w:color w:val="000000"/>
              </w:rPr>
              <w:t>rnada</w:t>
            </w:r>
          </w:p>
        </w:tc>
      </w:tr>
      <w:tr w:rsidR="00C53B4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spacing w:line="240" w:lineRule="exact"/>
            </w:pPr>
            <w:r>
              <w:rPr>
                <w:color w:val="000000"/>
              </w:rPr>
              <w:t>Adicional de Hora Noturna Reduzida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spacing w:line="240" w:lineRule="exact"/>
              <w:jc w:val="both"/>
            </w:pPr>
            <w:r>
              <w:rPr>
                <w:color w:val="000000"/>
              </w:rPr>
              <w:t>((</w:t>
            </w:r>
            <w:proofErr w:type="spellStart"/>
            <w:r>
              <w:rPr>
                <w:color w:val="000000"/>
              </w:rPr>
              <w:t>qtde</w:t>
            </w:r>
            <w:proofErr w:type="spellEnd"/>
            <w:r>
              <w:rPr>
                <w:color w:val="000000"/>
              </w:rPr>
              <w:t xml:space="preserve"> horas noturnas contadas em relógio * 1,142857 ² * dias trabalhados mês conf. jornada) - </w:t>
            </w:r>
            <w:proofErr w:type="spellStart"/>
            <w:r>
              <w:rPr>
                <w:color w:val="000000"/>
              </w:rPr>
              <w:t>qtde</w:t>
            </w:r>
            <w:proofErr w:type="spellEnd"/>
            <w:r>
              <w:rPr>
                <w:color w:val="000000"/>
              </w:rPr>
              <w:t xml:space="preserve"> horas noturnas contadas em relógio * dias trabalhados mês conf. jornada) * ((Salário base / horas trabalhadas </w:t>
            </w:r>
            <w:r>
              <w:rPr>
                <w:color w:val="000000"/>
              </w:rPr>
              <w:t>mês conf. jornada) * % estipulado CCT ¹)</w:t>
            </w:r>
          </w:p>
        </w:tc>
      </w:tr>
      <w:tr w:rsidR="00C53B43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spacing w:line="240" w:lineRule="exact"/>
              <w:jc w:val="center"/>
            </w:pPr>
            <w:r>
              <w:rPr>
                <w:b/>
                <w:color w:val="000000"/>
              </w:rPr>
              <w:t>Total da Remuneração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spacing w:line="240" w:lineRule="exac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proofErr w:type="gramStart"/>
      <w:r>
        <w:rPr>
          <w:b/>
          <w:color w:val="000000"/>
          <w:sz w:val="21"/>
          <w:szCs w:val="21"/>
        </w:rPr>
        <w:t xml:space="preserve">¹ </w:t>
      </w:r>
      <w:r>
        <w:rPr>
          <w:color w:val="000000"/>
          <w:sz w:val="21"/>
          <w:szCs w:val="21"/>
        </w:rPr>
        <w:t>Na</w:t>
      </w:r>
      <w:proofErr w:type="gramEnd"/>
      <w:r>
        <w:rPr>
          <w:color w:val="000000"/>
          <w:sz w:val="21"/>
          <w:szCs w:val="21"/>
        </w:rPr>
        <w:t xml:space="preserve"> falta de orientação na CCT, utilizar o adicional padrão de 20%.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²</w:t>
      </w:r>
      <w:r>
        <w:rPr>
          <w:color w:val="000000"/>
          <w:sz w:val="21"/>
          <w:szCs w:val="21"/>
        </w:rPr>
        <w:t xml:space="preserve"> A hora noturna corresponde a 52,5 minutos (art. 73, § 2º CLT). Portanto, 60 min / 52 min 30 s = 1,1428571</w:t>
      </w: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jc w:val="both"/>
        <w:rPr>
          <w:color w:val="000000"/>
          <w:sz w:val="21"/>
          <w:szCs w:val="21"/>
        </w:rPr>
      </w:pP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jc w:val="both"/>
        <w:rPr>
          <w:color w:val="000000"/>
        </w:rPr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MÓDULO 2: </w:t>
      </w:r>
      <w:r>
        <w:rPr>
          <w:b/>
          <w:color w:val="000000"/>
        </w:rPr>
        <w:t>ENCARGOS E BENEFÍCIOS ANUAIS, MENSAIS E DIÁRIOS</w:t>
      </w: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jc w:val="center"/>
        <w:rPr>
          <w:b/>
          <w:color w:val="000000"/>
        </w:rPr>
      </w:pPr>
    </w:p>
    <w:tbl>
      <w:tblPr>
        <w:tblW w:w="9315" w:type="dxa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0"/>
        <w:gridCol w:w="2971"/>
        <w:gridCol w:w="3569"/>
        <w:gridCol w:w="2145"/>
      </w:tblGrid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13º Salário, Férias e Adicional de Férias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Memória de Cálculo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 de Incidência</w:t>
            </w: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</w:pPr>
            <w:r>
              <w:t>13º Salário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spacing w:line="252" w:lineRule="auto"/>
              <w:ind w:left="321" w:right="308"/>
              <w:jc w:val="center"/>
              <w:rPr>
                <w:color w:val="000000"/>
              </w:rPr>
            </w:pPr>
            <w:r>
              <w:rPr>
                <w:color w:val="000000"/>
              </w:rPr>
              <w:t>((1 / 12) * 100)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52" w:lineRule="auto"/>
              <w:ind w:left="321" w:right="308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do Módulo 1</w:t>
            </w: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</w:pPr>
            <w:r>
              <w:t>Férias e Adicional de Férias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spacing w:line="271" w:lineRule="auto"/>
              <w:ind w:left="321" w:right="310"/>
              <w:jc w:val="center"/>
              <w:rPr>
                <w:color w:val="000000"/>
              </w:rPr>
            </w:pPr>
            <w:r>
              <w:rPr>
                <w:color w:val="000000"/>
              </w:rPr>
              <w:t>(1 / 12) + ((1 / 12) / 3) * 100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  <w:r>
              <w:rPr>
                <w:b/>
                <w:color w:val="000000"/>
              </w:rPr>
              <w:t xml:space="preserve">do </w:t>
            </w:r>
            <w:proofErr w:type="spellStart"/>
            <w:r>
              <w:rPr>
                <w:b/>
                <w:color w:val="000000"/>
              </w:rPr>
              <w:t>Submódulo</w:t>
            </w:r>
            <w:proofErr w:type="spellEnd"/>
            <w:r>
              <w:rPr>
                <w:b/>
                <w:color w:val="000000"/>
              </w:rPr>
              <w:t xml:space="preserve"> 2.1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</w:pPr>
    </w:p>
    <w:p w:rsidR="00C53B43" w:rsidRDefault="00EA1038">
      <w:pPr>
        <w:pStyle w:val="LO-normal"/>
        <w:rPr>
          <w:sz w:val="21"/>
          <w:szCs w:val="21"/>
        </w:rPr>
      </w:pPr>
      <w:r>
        <w:rPr>
          <w:sz w:val="21"/>
          <w:szCs w:val="21"/>
        </w:rPr>
        <w:t>Legislação: Acórdão TCU nº 6.771/2009.</w:t>
      </w:r>
    </w:p>
    <w:p w:rsidR="00C53B43" w:rsidRDefault="00C53B43">
      <w:pPr>
        <w:pStyle w:val="LO-normal"/>
      </w:pPr>
    </w:p>
    <w:tbl>
      <w:tblPr>
        <w:tblW w:w="9315" w:type="dxa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0"/>
        <w:gridCol w:w="2490"/>
        <w:gridCol w:w="4141"/>
        <w:gridCol w:w="2054"/>
      </w:tblGrid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GPS, FGTS e Outras Contribuições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 de Incidência</w:t>
            </w: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INSS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spacing w:line="252" w:lineRule="auto"/>
              <w:ind w:left="321" w:right="30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20% </w:t>
            </w:r>
            <w:r>
              <w:rPr>
                <w:i/>
                <w:color w:val="000000"/>
              </w:rPr>
              <w:t>(art. 22, inc. I Lei 8.212/91)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52" w:lineRule="auto"/>
              <w:ind w:left="321" w:right="3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Total do Módulo 1 + </w:t>
            </w:r>
            <w:proofErr w:type="spellStart"/>
            <w:r>
              <w:rPr>
                <w:color w:val="000000"/>
              </w:rPr>
              <w:t>Sub-módulo</w:t>
            </w:r>
            <w:proofErr w:type="spellEnd"/>
            <w:r>
              <w:rPr>
                <w:color w:val="000000"/>
              </w:rPr>
              <w:t xml:space="preserve"> 2.1</w:t>
            </w: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Salário Educação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spacing w:line="271" w:lineRule="auto"/>
              <w:ind w:left="321" w:right="310"/>
              <w:jc w:val="center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2,50% </w:t>
            </w:r>
            <w:r>
              <w:rPr>
                <w:i/>
                <w:color w:val="000000"/>
                <w:lang w:val="en-US"/>
              </w:rPr>
              <w:t xml:space="preserve">(art. 15 Lei 9.424/96; art. 2º, </w:t>
            </w:r>
            <w:proofErr w:type="spellStart"/>
            <w:r>
              <w:rPr>
                <w:i/>
                <w:color w:val="000000"/>
                <w:lang w:val="en-US"/>
              </w:rPr>
              <w:t>Decreto</w:t>
            </w:r>
            <w:proofErr w:type="spellEnd"/>
            <w:r>
              <w:rPr>
                <w:i/>
                <w:color w:val="000000"/>
                <w:lang w:val="en-US"/>
              </w:rPr>
              <w:t xml:space="preserve"> 3.142/99; e art. 212, § 5º, CF/88)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SAT (Seguro Acidente de Trabalho)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RAT ajustado da Empresa</w:t>
            </w:r>
            <w:r>
              <w:rPr>
                <w:i/>
                <w:color w:val="000000"/>
              </w:rPr>
              <w:t>(art. 22, inc. II, Lei 8.212/91 e art. 10º Lei 10.666/03)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SESC ou  SESI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1,50% </w:t>
            </w:r>
            <w:r>
              <w:rPr>
                <w:i/>
                <w:color w:val="000000"/>
              </w:rPr>
              <w:t>(art. 30 Lei 8.036/90)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SENAI - SENAC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1%</w:t>
            </w:r>
            <w:r>
              <w:rPr>
                <w:i/>
                <w:color w:val="000000"/>
                <w:lang w:val="en-US"/>
              </w:rPr>
              <w:t xml:space="preserve">(art. 1º caput DL 6.246/44 </w:t>
            </w:r>
            <w:r>
              <w:rPr>
                <w:i/>
                <w:color w:val="000000"/>
                <w:lang w:val="en-US"/>
              </w:rPr>
              <w:t>- SENAI e art. 4º caput DL 8.621/46 - SENAC)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  <w:lang w:val="en-US"/>
              </w:rPr>
            </w:pP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SEBRAE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0,60%</w:t>
            </w:r>
            <w:r>
              <w:rPr>
                <w:i/>
                <w:color w:val="000000"/>
              </w:rPr>
              <w:t>(art. 8º Lei 8.029/90)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INCRA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0,20%</w:t>
            </w:r>
            <w:r>
              <w:rPr>
                <w:i/>
                <w:color w:val="000000"/>
              </w:rPr>
              <w:t xml:space="preserve"> (art. 1º e 2° DL 1.146/70)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b/>
                <w:color w:val="000000"/>
              </w:rPr>
            </w:pP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FGTS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8,00%</w:t>
            </w:r>
            <w:r>
              <w:rPr>
                <w:i/>
                <w:color w:val="000000"/>
                <w:lang w:val="en-US"/>
              </w:rPr>
              <w:t xml:space="preserve"> (art. 15 Lei 8.030/90 e art. 7º, </w:t>
            </w:r>
            <w:proofErr w:type="spellStart"/>
            <w:r>
              <w:rPr>
                <w:i/>
                <w:color w:val="000000"/>
                <w:lang w:val="en-US"/>
              </w:rPr>
              <w:t>inc.</w:t>
            </w:r>
            <w:proofErr w:type="spellEnd"/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</w:rPr>
              <w:t>III CF/88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b/>
                <w:color w:val="000000"/>
              </w:rPr>
            </w:pPr>
          </w:p>
        </w:tc>
      </w:tr>
      <w:tr w:rsidR="00C53B43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do </w:t>
            </w:r>
            <w:proofErr w:type="spellStart"/>
            <w:r>
              <w:rPr>
                <w:b/>
                <w:color w:val="000000"/>
              </w:rPr>
              <w:t>Submódulo</w:t>
            </w:r>
            <w:proofErr w:type="spellEnd"/>
            <w:r>
              <w:rPr>
                <w:b/>
                <w:color w:val="000000"/>
              </w:rPr>
              <w:t xml:space="preserve"> 2.2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</w:pPr>
    </w:p>
    <w:tbl>
      <w:tblPr>
        <w:tblW w:w="9255" w:type="dxa"/>
        <w:tblInd w:w="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70"/>
        <w:gridCol w:w="3405"/>
        <w:gridCol w:w="5280"/>
      </w:tblGrid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rPr>
                <w:b/>
              </w:rPr>
            </w:pPr>
            <w:r>
              <w:rPr>
                <w:b/>
              </w:rPr>
              <w:t>Benefícios Mensais e Diários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Memória de Cálculo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Transporte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(dias trabalhados mês conf. jornada * valor do vale transporte * </w:t>
            </w:r>
            <w:proofErr w:type="spellStart"/>
            <w:r>
              <w:rPr>
                <w:color w:val="000000"/>
              </w:rPr>
              <w:t>qtde</w:t>
            </w:r>
            <w:proofErr w:type="spellEnd"/>
            <w:r>
              <w:rPr>
                <w:color w:val="000000"/>
              </w:rPr>
              <w:t xml:space="preserve"> vales utilizados por dia) – (desconto parte empregado¹)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Auxílio-Refeição/Alimentação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>Conforme CCT do cargo, especificada no TR²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Cesta Básica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>Conforme CCT do cargo, especificada no TR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Seguro de Vida em Grupo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>Conforme CCT do cargo, especificada no TR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Assistência Médica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>Conforme CCT do cargo, especificada no TR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Assistência Odontológica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>Conforme CCT do cargo, especificada no TR</w:t>
            </w:r>
          </w:p>
        </w:tc>
      </w:tr>
      <w:tr w:rsidR="00C53B4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Adiantamento de despesa de viagem³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both"/>
              <w:rPr>
                <w:color w:val="000000"/>
              </w:rPr>
            </w:pPr>
            <w:r>
              <w:rPr>
                <w:color w:val="000000"/>
              </w:rPr>
              <w:t>Conforme especificado no TR.</w:t>
            </w:r>
          </w:p>
        </w:tc>
      </w:tr>
      <w:tr w:rsidR="00C53B43"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do </w:t>
            </w:r>
            <w:proofErr w:type="spellStart"/>
            <w:r>
              <w:rPr>
                <w:b/>
                <w:color w:val="000000"/>
              </w:rPr>
              <w:t>Submódulo</w:t>
            </w:r>
            <w:proofErr w:type="spellEnd"/>
            <w:r>
              <w:rPr>
                <w:b/>
                <w:color w:val="000000"/>
              </w:rPr>
              <w:t xml:space="preserve"> 2.3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¹ Na</w:t>
      </w:r>
      <w:proofErr w:type="gramEnd"/>
      <w:r>
        <w:rPr>
          <w:color w:val="000000"/>
          <w:sz w:val="21"/>
          <w:szCs w:val="21"/>
        </w:rPr>
        <w:t xml:space="preserve"> falta de orientação na CCT, (salário base * 6%)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² Na</w:t>
      </w:r>
      <w:proofErr w:type="gramEnd"/>
      <w:r>
        <w:rPr>
          <w:color w:val="000000"/>
          <w:sz w:val="21"/>
          <w:szCs w:val="21"/>
        </w:rPr>
        <w:t xml:space="preserve"> falta de orientação na CCT, (valor benefício * dias trabalhados mês conf. jornada * 80%).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³ Valores máximos</w:t>
      </w:r>
      <w:r>
        <w:rPr>
          <w:color w:val="000000"/>
          <w:sz w:val="21"/>
          <w:szCs w:val="21"/>
        </w:rPr>
        <w:t xml:space="preserve"> por viagem: R$ 170,00 (cento e setenta reais), quando houver necessidade de pernoite; R$ 70,00 (setenta reais) quando não houver necessidade de pernoite. Sobre os valores a títulos de diárias incidirão exclusivamente os custos “PIS (0,65%), COFINS (3%), I</w:t>
      </w:r>
      <w:r>
        <w:rPr>
          <w:color w:val="000000"/>
          <w:sz w:val="21"/>
          <w:szCs w:val="21"/>
        </w:rPr>
        <w:t>SSQN (3%), custos indiretos e lucro, discriminados no Módulo 6, de acordo com a IN RFB 1.234/2012 e a legislação tributária municipal (ISSQN).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r>
        <w:br w:type="page"/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MÓDULO 3: PROVISÃO PARA RESCISÃO</w:t>
      </w: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jc w:val="center"/>
        <w:rPr>
          <w:b/>
          <w:color w:val="000000"/>
        </w:rPr>
      </w:pPr>
    </w:p>
    <w:tbl>
      <w:tblPr>
        <w:tblW w:w="9202" w:type="dxa"/>
        <w:tblInd w:w="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04"/>
        <w:gridCol w:w="2952"/>
        <w:gridCol w:w="3726"/>
        <w:gridCol w:w="2120"/>
      </w:tblGrid>
      <w:tr w:rsidR="00C53B43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rPr>
                <w:b/>
              </w:rPr>
            </w:pPr>
            <w:r>
              <w:rPr>
                <w:b/>
              </w:rPr>
              <w:t>Provisão para Rescisão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Memória de Cálculo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 de Incidência</w:t>
            </w:r>
          </w:p>
        </w:tc>
      </w:tr>
      <w:tr w:rsidR="00C53B43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 xml:space="preserve">Aviso </w:t>
            </w:r>
            <w:r>
              <w:t>Prévio Indenizado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52" w:lineRule="auto"/>
              <w:ind w:left="321" w:right="308"/>
              <w:jc w:val="center"/>
            </w:pPr>
            <w:r>
              <w:t>(1 / 12) * 5% ¹ * 100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52" w:lineRule="auto"/>
              <w:ind w:left="321" w:right="308"/>
              <w:jc w:val="center"/>
            </w:pPr>
            <w:r>
              <w:t>Total do Módulo 1</w:t>
            </w:r>
          </w:p>
        </w:tc>
      </w:tr>
      <w:tr w:rsidR="00C53B43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Incidência do FGTS sobre Aviso Prévio Indenizado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71" w:lineRule="auto"/>
              <w:ind w:left="321" w:right="310"/>
              <w:jc w:val="center"/>
              <w:rPr>
                <w:color w:val="000000"/>
              </w:rPr>
            </w:pPr>
            <w:r>
              <w:rPr>
                <w:color w:val="000000"/>
              </w:rPr>
              <w:t>Aviso Prévio Indenizado * 8%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Aviso Prévio Trabalhado ²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(7 / 30 dias) / 12³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 xml:space="preserve">Incidência do </w:t>
            </w:r>
            <w:proofErr w:type="spellStart"/>
            <w:r>
              <w:t>Submódulo</w:t>
            </w:r>
            <w:proofErr w:type="spellEnd"/>
            <w:r>
              <w:t xml:space="preserve"> 2.2 sobre Aviso Prévio Trabalhado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Aviso</w:t>
            </w:r>
            <w:r>
              <w:t xml:space="preserve"> Prévio Trabalhado * % Total do </w:t>
            </w:r>
            <w:proofErr w:type="spellStart"/>
            <w:r>
              <w:t>Submódulo</w:t>
            </w:r>
            <w:proofErr w:type="spellEnd"/>
            <w:r>
              <w:t xml:space="preserve"> 2.2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</w:pPr>
          </w:p>
        </w:tc>
      </w:tr>
      <w:tr w:rsidR="00C53B43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Multa sobre FGTS incidente sobre Aviso Prévio Trabalhado e Aviso Prévio Indenizado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(40%) * 8%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do Módulo 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¹</w:t>
      </w:r>
      <w:r>
        <w:rPr>
          <w:color w:val="000000"/>
          <w:sz w:val="21"/>
          <w:szCs w:val="21"/>
        </w:rPr>
        <w:t xml:space="preserve"> Percentual de Incidência: De acordo com dados de contratos do STF, trazidos no Acórdão TCU 6.771/2009, cerca de 5% do pessoal é demitido pelo empregador, antes do término do contrato de trabalho.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both"/>
        <w:rPr>
          <w:color w:val="000000"/>
          <w:sz w:val="21"/>
          <w:szCs w:val="21"/>
        </w:rPr>
      </w:pPr>
      <w:proofErr w:type="gramStart"/>
      <w:r>
        <w:rPr>
          <w:b/>
          <w:color w:val="000000"/>
          <w:sz w:val="21"/>
          <w:szCs w:val="21"/>
        </w:rPr>
        <w:t>²</w:t>
      </w:r>
      <w:bookmarkStart w:id="4" w:name="3rdcrjn"/>
      <w:bookmarkEnd w:id="4"/>
      <w:r>
        <w:rPr>
          <w:color w:val="000000"/>
          <w:sz w:val="21"/>
          <w:szCs w:val="21"/>
        </w:rPr>
        <w:t>Não</w:t>
      </w:r>
      <w:proofErr w:type="gramEnd"/>
      <w:r>
        <w:rPr>
          <w:color w:val="000000"/>
          <w:sz w:val="21"/>
          <w:szCs w:val="21"/>
        </w:rPr>
        <w:t xml:space="preserve"> tendo havido a incidência de custos com aviso prévio t</w:t>
      </w:r>
      <w:r>
        <w:rPr>
          <w:color w:val="000000"/>
          <w:sz w:val="21"/>
          <w:szCs w:val="21"/>
        </w:rPr>
        <w:t>rabalhado, a prorrogação contratual seguinte deverá prever o pagamento do percentual máximo equivalente a três dias a mais por ano de serviço, até o limite compatível com o prazo total de vigência contratual.</w:t>
      </w:r>
    </w:p>
    <w:p w:rsidR="00C53B43" w:rsidRDefault="00EA1038">
      <w:pPr>
        <w:pStyle w:val="LO-normal"/>
        <w:spacing w:after="120"/>
        <w:rPr>
          <w:color w:val="000000"/>
        </w:rPr>
      </w:pPr>
      <w:proofErr w:type="gramStart"/>
      <w:r>
        <w:rPr>
          <w:color w:val="000000"/>
        </w:rPr>
        <w:t xml:space="preserve">³ </w:t>
      </w:r>
      <w:r>
        <w:rPr>
          <w:color w:val="000000"/>
          <w:sz w:val="21"/>
          <w:szCs w:val="21"/>
        </w:rPr>
        <w:t>Os</w:t>
      </w:r>
      <w:proofErr w:type="gramEnd"/>
      <w:r>
        <w:rPr>
          <w:color w:val="000000"/>
          <w:sz w:val="21"/>
          <w:szCs w:val="21"/>
        </w:rPr>
        <w:t xml:space="preserve"> cargos de tratorista e capineiro são regid</w:t>
      </w:r>
      <w:r>
        <w:rPr>
          <w:color w:val="000000"/>
          <w:sz w:val="21"/>
          <w:szCs w:val="21"/>
        </w:rPr>
        <w:t>os pela Lei 5.889/1973, tendo sua memória de cálculo alterada para: (5/30 dias) / 12</w:t>
      </w:r>
    </w:p>
    <w:p w:rsidR="00C53B43" w:rsidRDefault="00EA1038">
      <w:pPr>
        <w:pStyle w:val="LO-normal"/>
        <w:spacing w:after="120"/>
        <w:jc w:val="center"/>
        <w:rPr>
          <w:color w:val="000000"/>
        </w:rPr>
      </w:pPr>
      <w:r>
        <w:br w:type="page"/>
      </w:r>
    </w:p>
    <w:p w:rsidR="00C53B43" w:rsidRDefault="00EA1038">
      <w:pPr>
        <w:pStyle w:val="LO-normal"/>
        <w:spacing w:after="120"/>
        <w:jc w:val="center"/>
        <w:rPr>
          <w:color w:val="000000"/>
        </w:rPr>
      </w:pPr>
      <w:r>
        <w:rPr>
          <w:b/>
          <w:color w:val="000000"/>
        </w:rPr>
        <w:lastRenderedPageBreak/>
        <w:t>MÓDULO 4: CUSTO DE REPOSIÇÃO DO PROFISSIONAL AUSENTE</w:t>
      </w:r>
    </w:p>
    <w:p w:rsidR="00C53B43" w:rsidRDefault="00C53B43">
      <w:pPr>
        <w:pStyle w:val="LO-normal"/>
        <w:spacing w:after="120"/>
        <w:rPr>
          <w:color w:val="000000"/>
        </w:rPr>
      </w:pPr>
    </w:p>
    <w:tbl>
      <w:tblPr>
        <w:tblW w:w="9375" w:type="dxa"/>
        <w:tblInd w:w="-9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91"/>
        <w:gridCol w:w="2550"/>
        <w:gridCol w:w="3900"/>
        <w:gridCol w:w="2234"/>
      </w:tblGrid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rPr>
                <w:b/>
              </w:rPr>
            </w:pPr>
            <w:r>
              <w:rPr>
                <w:b/>
              </w:rPr>
              <w:t>Substituto nas ausências legais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Memória de Cálculo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 de Incidência</w:t>
            </w:r>
          </w:p>
        </w:tc>
      </w:tr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Substituto nas Férias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(Férias + </w:t>
            </w:r>
            <w:r>
              <w:rPr>
                <w:color w:val="000000"/>
              </w:rPr>
              <w:t>Adicional de Férias) / 12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Módulo 1</w:t>
            </w:r>
          </w:p>
        </w:tc>
      </w:tr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Substituto nas Ausências Legais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(5,96/30)*(1/12)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Substituto na Licença Paternidade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rPr>
                <w:color w:val="000000"/>
              </w:rPr>
              <w:t>(Média de dias de licença / Dias do mês) / Meses do ano * 1,5% ²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</w:pPr>
          </w:p>
        </w:tc>
      </w:tr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Substituto na Ausência por Acidente de Trabalho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((Médias de </w:t>
            </w:r>
            <w:r>
              <w:rPr>
                <w:color w:val="000000"/>
              </w:rPr>
              <w:t>dias de ausência por ano / dias no mês) / meses do ano) * 0,78% ³ * 100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Substituto no Afastamento Maternidade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rPr>
                <w:color w:val="000000"/>
              </w:rPr>
              <w:t xml:space="preserve">(% Taxa de natalidade brasileira * % empregadas que engravidam a cada ano * custo de encargos * meses de licença maternidade / meses do ano) </w:t>
            </w:r>
            <w:r>
              <w:rPr>
                <w:b/>
                <w:color w:val="00000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</w:pPr>
          </w:p>
        </w:tc>
      </w:tr>
      <w:tr w:rsidR="00C53B4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 xml:space="preserve">Incidência do </w:t>
            </w:r>
            <w:proofErr w:type="spellStart"/>
            <w:r>
              <w:t>Submódulo</w:t>
            </w:r>
            <w:proofErr w:type="spellEnd"/>
            <w:r>
              <w:t xml:space="preserve"> 2.2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(Somatório dos itens A ao E) *</w:t>
            </w:r>
          </w:p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Total do </w:t>
            </w:r>
            <w:proofErr w:type="spellStart"/>
            <w:r>
              <w:rPr>
                <w:color w:val="000000"/>
              </w:rPr>
              <w:t>Submódulo</w:t>
            </w:r>
            <w:proofErr w:type="spellEnd"/>
            <w:r>
              <w:rPr>
                <w:color w:val="000000"/>
              </w:rPr>
              <w:t xml:space="preserve"> 2.2</w:t>
            </w: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spacing w:line="276" w:lineRule="auto"/>
              <w:rPr>
                <w:color w:val="000000"/>
              </w:rPr>
            </w:pPr>
          </w:p>
        </w:tc>
      </w:tr>
      <w:tr w:rsidR="00C53B43"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do Módulo 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¹ Conforme</w:t>
      </w:r>
      <w:proofErr w:type="gramEnd"/>
      <w:r>
        <w:rPr>
          <w:color w:val="000000"/>
          <w:sz w:val="21"/>
          <w:szCs w:val="21"/>
        </w:rPr>
        <w:t xml:space="preserve"> estatística do TSE, cada empregado falta 3 dias a cada 12 meses.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² De acordo com o IBGE, nascem filhos de 1,5% dos trabalhadores no </w:t>
      </w:r>
      <w:r>
        <w:rPr>
          <w:color w:val="000000"/>
          <w:sz w:val="21"/>
          <w:szCs w:val="21"/>
        </w:rPr>
        <w:t>período de um ano.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³ Orientação do Acórdão TCU 6.771/09: 0,78% dos empregados se acidentam no ano.</w:t>
      </w: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  <w:vertAlign w:val="superscript"/>
        </w:rPr>
        <w:t>4</w:t>
      </w:r>
      <w:r>
        <w:rPr>
          <w:color w:val="000000"/>
          <w:sz w:val="21"/>
          <w:szCs w:val="21"/>
        </w:rPr>
        <w:t xml:space="preserve"> De acordo com dados estatísticos do IBGE, a taxa de natalidade brasileira é de 1,44%. Estima-se que 10% das empregadas engravidam em cada ano de execução c</w:t>
      </w:r>
      <w:r>
        <w:rPr>
          <w:color w:val="000000"/>
          <w:sz w:val="21"/>
          <w:szCs w:val="21"/>
        </w:rPr>
        <w:t>ontratual. Considerando o custo de encargos como sendo 45,09% e a licença maternidade com duração de 6 meses. (Nota Técnica 001/2013)</w:t>
      </w: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tbl>
      <w:tblPr>
        <w:tblW w:w="9240" w:type="dxa"/>
        <w:tblInd w:w="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0"/>
        <w:gridCol w:w="2405"/>
        <w:gridCol w:w="3908"/>
        <w:gridCol w:w="2297"/>
      </w:tblGrid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rPr>
                <w:b/>
              </w:rPr>
            </w:pPr>
            <w:r>
              <w:rPr>
                <w:b/>
              </w:rPr>
              <w:t>Intrajornada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Memória de Cálculo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Base de Incidência</w:t>
            </w:r>
          </w:p>
        </w:tc>
      </w:tr>
      <w:tr w:rsidR="00C53B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Intrajornada indenizada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sz w:val="20"/>
                <w:szCs w:val="20"/>
              </w:rPr>
            </w:pPr>
          </w:p>
          <w:p w:rsidR="00C53B43" w:rsidRDefault="00EA1038">
            <w:pPr>
              <w:pStyle w:val="LO-normal"/>
              <w:jc w:val="center"/>
            </w:pPr>
            <w:r>
              <w:t xml:space="preserve">(Base de incidência / horas </w:t>
            </w:r>
            <w:r>
              <w:t>trabalhadas mês conf. jornada) * 1,5 ¹ * dias trabalhados mês conf. jornada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Módulo 1</w:t>
            </w:r>
          </w:p>
        </w:tc>
      </w:tr>
    </w:tbl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¹ Na</w:t>
      </w:r>
      <w:proofErr w:type="gramEnd"/>
      <w:r>
        <w:rPr>
          <w:color w:val="000000"/>
          <w:sz w:val="21"/>
          <w:szCs w:val="21"/>
        </w:rPr>
        <w:t xml:space="preserve"> falta de orientação na CCT, utilizar o adicional de 50% sobre o valor da remuneração da hora normal de trabalho (art. 71, parágrafo 4º CLT).</w:t>
      </w: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C53B43">
      <w:pPr>
        <w:pStyle w:val="LO-normal"/>
        <w:widowControl/>
        <w:tabs>
          <w:tab w:val="left" w:pos="1134"/>
        </w:tabs>
        <w:spacing w:line="360" w:lineRule="auto"/>
        <w:rPr>
          <w:color w:val="000000"/>
          <w:sz w:val="21"/>
          <w:szCs w:val="21"/>
        </w:rPr>
      </w:pPr>
    </w:p>
    <w:p w:rsidR="00C53B43" w:rsidRDefault="00C53B43">
      <w:pPr>
        <w:pStyle w:val="LO-normal"/>
        <w:jc w:val="center"/>
        <w:rPr>
          <w:b/>
        </w:rPr>
      </w:pPr>
    </w:p>
    <w:p w:rsidR="00C53B43" w:rsidRDefault="00C53B43">
      <w:pPr>
        <w:pStyle w:val="LO-normal"/>
        <w:jc w:val="center"/>
        <w:rPr>
          <w:b/>
          <w:color w:val="000000"/>
        </w:rPr>
      </w:pPr>
    </w:p>
    <w:p w:rsidR="00C53B43" w:rsidRDefault="00C53B43">
      <w:pPr>
        <w:pStyle w:val="LO-normal"/>
        <w:jc w:val="center"/>
        <w:rPr>
          <w:b/>
          <w:color w:val="000000"/>
        </w:rPr>
      </w:pPr>
    </w:p>
    <w:p w:rsidR="00C53B43" w:rsidRDefault="00C53B43">
      <w:pPr>
        <w:pStyle w:val="LO-normal"/>
        <w:jc w:val="center"/>
        <w:rPr>
          <w:b/>
          <w:color w:val="000000"/>
        </w:rPr>
      </w:pPr>
    </w:p>
    <w:p w:rsidR="00C53B43" w:rsidRDefault="00C53B43">
      <w:pPr>
        <w:pStyle w:val="LO-normal"/>
        <w:jc w:val="center"/>
        <w:rPr>
          <w:b/>
          <w:color w:val="000000"/>
        </w:rPr>
      </w:pPr>
    </w:p>
    <w:p w:rsidR="00C53B43" w:rsidRDefault="00EA1038">
      <w:pPr>
        <w:pStyle w:val="LO-normal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MÓDULO 5: </w:t>
      </w:r>
      <w:r>
        <w:rPr>
          <w:b/>
          <w:color w:val="000000"/>
        </w:rPr>
        <w:t>INSUMOS DIVERSOS</w:t>
      </w:r>
    </w:p>
    <w:p w:rsidR="00C53B43" w:rsidRDefault="00C53B43">
      <w:pPr>
        <w:pStyle w:val="LO-normal"/>
        <w:spacing w:after="120"/>
        <w:rPr>
          <w:color w:val="000000"/>
        </w:rPr>
      </w:pPr>
    </w:p>
    <w:tbl>
      <w:tblPr>
        <w:tblW w:w="9202" w:type="dxa"/>
        <w:tblInd w:w="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10"/>
        <w:gridCol w:w="3160"/>
        <w:gridCol w:w="5132"/>
      </w:tblGrid>
      <w:tr w:rsidR="00C53B4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rPr>
                <w:b/>
              </w:rPr>
            </w:pPr>
            <w:r>
              <w:rPr>
                <w:b/>
              </w:rPr>
              <w:t>Insumos Diversos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Memória de Cálculo</w:t>
            </w:r>
          </w:p>
        </w:tc>
      </w:tr>
      <w:tr w:rsidR="00C53B4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Uniformes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Valor total anual por empregado para os itens e quantidades relacionados no TR / número de meses do contrato</w:t>
            </w:r>
          </w:p>
        </w:tc>
      </w:tr>
      <w:tr w:rsidR="00C53B4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Equipamentos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Custo total de aquisição do bem / número de meses do contrato</w:t>
            </w:r>
          </w:p>
        </w:tc>
      </w:tr>
      <w:tr w:rsidR="00C53B43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Equipamentos de Segurança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Valor total anual por empregado para os itens e quantidades relacionados no TR / número de meses do contrato</w:t>
            </w:r>
          </w:p>
        </w:tc>
      </w:tr>
      <w:tr w:rsidR="00C53B43"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do Módulo 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  <w:jc w:val="center"/>
        <w:rPr>
          <w:color w:val="000000"/>
          <w:sz w:val="21"/>
          <w:szCs w:val="21"/>
        </w:rPr>
      </w:pPr>
    </w:p>
    <w:p w:rsidR="00C53B43" w:rsidRDefault="00C53B43">
      <w:pPr>
        <w:pStyle w:val="LO-normal"/>
        <w:jc w:val="center"/>
        <w:rPr>
          <w:color w:val="000000"/>
          <w:sz w:val="21"/>
          <w:szCs w:val="21"/>
        </w:rPr>
      </w:pPr>
    </w:p>
    <w:p w:rsidR="00C53B43" w:rsidRDefault="00C53B43">
      <w:pPr>
        <w:pStyle w:val="LO-normal"/>
        <w:jc w:val="center"/>
        <w:rPr>
          <w:color w:val="000000"/>
          <w:sz w:val="21"/>
          <w:szCs w:val="21"/>
        </w:rPr>
      </w:pPr>
    </w:p>
    <w:p w:rsidR="00C53B43" w:rsidRDefault="00C53B43">
      <w:pPr>
        <w:pStyle w:val="LO-normal"/>
        <w:jc w:val="center"/>
        <w:rPr>
          <w:color w:val="000000"/>
          <w:sz w:val="21"/>
          <w:szCs w:val="21"/>
        </w:rPr>
      </w:pPr>
    </w:p>
    <w:p w:rsidR="00C53B43" w:rsidRDefault="00EA1038">
      <w:pPr>
        <w:pStyle w:val="LO-normal"/>
        <w:jc w:val="center"/>
        <w:rPr>
          <w:b/>
          <w:color w:val="000000"/>
        </w:rPr>
      </w:pPr>
      <w:r>
        <w:rPr>
          <w:b/>
          <w:color w:val="000000"/>
        </w:rPr>
        <w:t>MÓDULO 6: CUSTOS INDIRETOS, TRIBUTOS E LUCRO</w:t>
      </w:r>
    </w:p>
    <w:p w:rsidR="00C53B43" w:rsidRDefault="00C53B43">
      <w:pPr>
        <w:pStyle w:val="LO-normal"/>
        <w:jc w:val="center"/>
        <w:rPr>
          <w:b/>
          <w:color w:val="000000"/>
        </w:rPr>
      </w:pPr>
    </w:p>
    <w:tbl>
      <w:tblPr>
        <w:tblW w:w="9202" w:type="dxa"/>
        <w:tblInd w:w="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2283"/>
        <w:gridCol w:w="2790"/>
        <w:gridCol w:w="3563"/>
      </w:tblGrid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rPr>
                <w:b/>
              </w:rPr>
            </w:pPr>
            <w:r>
              <w:rPr>
                <w:b/>
              </w:rPr>
              <w:t>Custos Indiretos, Tributos e Lucro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Base de </w:t>
            </w:r>
            <w:r>
              <w:rPr>
                <w:b/>
                <w:color w:val="000000"/>
              </w:rPr>
              <w:t>Incidência</w:t>
            </w:r>
          </w:p>
        </w:tc>
      </w:tr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Custos Indiretos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A ser definido pela empresa</w:t>
            </w:r>
          </w:p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proponente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dos módulos 1, 2, 3, 4 e 5</w:t>
            </w:r>
          </w:p>
        </w:tc>
      </w:tr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Lucro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A ser definido pela empresa</w:t>
            </w:r>
          </w:p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proponente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Total dos módulos 1, 2, 3, 4 e 5 + Custos indiretos</w:t>
            </w:r>
          </w:p>
        </w:tc>
      </w:tr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TRIBUTOS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C.1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PIS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Conforme regime de tributação </w:t>
            </w:r>
            <w:r>
              <w:rPr>
                <w:color w:val="000000"/>
              </w:rPr>
              <w:t>da Empresa 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71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(Total dos módulos 1, 2, 3, 4 e 5 + Custos indiretos + Lucro ) / (1 – Percentual Total dos tributos)</w:t>
            </w:r>
          </w:p>
        </w:tc>
      </w:tr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C.2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COFINS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Conforme regime de tributação da Empresa 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spacing w:line="271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(Total dos módulos 1, 2, 3, 4 e 5 + Custos indiretos + Lucro ) / (1 – Percentual Total </w:t>
            </w:r>
            <w:r>
              <w:rPr>
                <w:color w:val="000000"/>
              </w:rPr>
              <w:t>dos tributos)</w:t>
            </w:r>
          </w:p>
        </w:tc>
      </w:tr>
      <w:tr w:rsidR="00C53B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C.3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B43" w:rsidRDefault="00EA1038">
            <w:pPr>
              <w:pStyle w:val="LO-normal"/>
              <w:jc w:val="center"/>
            </w:pPr>
            <w:r>
              <w:t>ISS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3,00% ²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spacing w:line="271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(Total dos módulos 1, 2, 3, 4 e 5 + Custos indiretos + Lucro ) / (1 – Percentual Total dos tributos)</w:t>
            </w:r>
          </w:p>
        </w:tc>
      </w:tr>
      <w:tr w:rsidR="00C53B43"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EA1038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do Módulo 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B43" w:rsidRDefault="00C53B43">
            <w:pPr>
              <w:pStyle w:val="LO-normal"/>
              <w:jc w:val="center"/>
              <w:rPr>
                <w:color w:val="000000"/>
              </w:rPr>
            </w:pPr>
          </w:p>
        </w:tc>
      </w:tr>
    </w:tbl>
    <w:p w:rsidR="00C53B43" w:rsidRDefault="00C53B43">
      <w:pPr>
        <w:pStyle w:val="LO-normal"/>
        <w:widowControl/>
        <w:tabs>
          <w:tab w:val="left" w:pos="1134"/>
        </w:tabs>
        <w:spacing w:line="360" w:lineRule="auto"/>
        <w:jc w:val="both"/>
        <w:rPr>
          <w:color w:val="000000"/>
          <w:sz w:val="21"/>
          <w:szCs w:val="21"/>
        </w:rPr>
      </w:pPr>
    </w:p>
    <w:p w:rsidR="00C53B43" w:rsidRDefault="00EA1038">
      <w:pPr>
        <w:pStyle w:val="LO-normal"/>
        <w:widowControl/>
        <w:tabs>
          <w:tab w:val="left" w:pos="1134"/>
        </w:tabs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¹ Apuração de PIS e COFINS pelo regime cumulativo: 0,65% e 3% respectivamente; E regime não </w:t>
      </w:r>
      <w:r>
        <w:rPr>
          <w:color w:val="000000"/>
          <w:sz w:val="21"/>
          <w:szCs w:val="21"/>
        </w:rPr>
        <w:t>cumulativo: 1,65% e 7,6% respectivamente.</w:t>
      </w:r>
    </w:p>
    <w:p w:rsidR="00C53B43" w:rsidRDefault="00EA1038">
      <w:pPr>
        <w:pStyle w:val="LO-normal"/>
        <w:widowControl/>
        <w:tabs>
          <w:tab w:val="left" w:pos="1134"/>
        </w:tabs>
      </w:pPr>
      <w:r>
        <w:rPr>
          <w:color w:val="000000"/>
          <w:sz w:val="21"/>
          <w:szCs w:val="21"/>
        </w:rPr>
        <w:t>² Conforme Lei Complementar Municipal nº 75/2011.</w:t>
      </w:r>
    </w:p>
    <w:sectPr w:rsidR="00C53B43">
      <w:pgSz w:w="11906" w:h="16838"/>
      <w:pgMar w:top="1417" w:right="1134" w:bottom="1134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B49"/>
    <w:multiLevelType w:val="multilevel"/>
    <w:tmpl w:val="84121616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057721"/>
    <w:multiLevelType w:val="multilevel"/>
    <w:tmpl w:val="139E0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730AF5"/>
    <w:multiLevelType w:val="multilevel"/>
    <w:tmpl w:val="F02EB0E2"/>
    <w:lvl w:ilvl="0">
      <w:start w:val="1"/>
      <w:numFmt w:val="bullet"/>
      <w:lvlText w:val=""/>
      <w:lvlJc w:val="left"/>
      <w:pPr>
        <w:tabs>
          <w:tab w:val="num" w:pos="0"/>
        </w:tabs>
        <w:ind w:left="1134" w:hanging="197"/>
      </w:pPr>
      <w:rPr>
        <w:rFonts w:ascii="Symbol" w:hAnsi="Symbol" w:cs="Symbol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2086" w:hanging="198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3033" w:hanging="198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979" w:hanging="198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926" w:hanging="198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872" w:hanging="197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819" w:hanging="198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765" w:hanging="198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712" w:hanging="198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66C67B68"/>
    <w:multiLevelType w:val="multilevel"/>
    <w:tmpl w:val="4ED82FB0"/>
    <w:lvl w:ilvl="0">
      <w:start w:val="1"/>
      <w:numFmt w:val="bullet"/>
      <w:lvlText w:val="◦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A9211FE"/>
    <w:multiLevelType w:val="multilevel"/>
    <w:tmpl w:val="FE50E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3"/>
    <w:rsid w:val="00C53B43"/>
    <w:rsid w:val="00E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2AA84-A929-4A9A-A2D5-8BE2AA3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A5"/>
    <w:pPr>
      <w:widowContro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LO-normal"/>
    <w:qFormat/>
    <w:rsid w:val="00750EC1"/>
    <w:pPr>
      <w:ind w:left="215"/>
      <w:outlineLvl w:val="0"/>
    </w:pPr>
    <w:rPr>
      <w:b/>
    </w:rPr>
  </w:style>
  <w:style w:type="paragraph" w:customStyle="1" w:styleId="Ttulo21">
    <w:name w:val="Título 21"/>
    <w:basedOn w:val="Normal"/>
    <w:next w:val="LO-normal"/>
    <w:qFormat/>
    <w:rsid w:val="00750EC1"/>
    <w:pPr>
      <w:ind w:left="975" w:hanging="197"/>
      <w:outlineLvl w:val="1"/>
    </w:pPr>
    <w:rPr>
      <w:b/>
      <w:i/>
    </w:rPr>
  </w:style>
  <w:style w:type="paragraph" w:customStyle="1" w:styleId="Ttulo31">
    <w:name w:val="Título 31"/>
    <w:basedOn w:val="Normal"/>
    <w:next w:val="LO-normal"/>
    <w:qFormat/>
    <w:rsid w:val="00750EC1"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customStyle="1" w:styleId="Ttulo41">
    <w:name w:val="Título 41"/>
    <w:basedOn w:val="Normal"/>
    <w:next w:val="LO-normal"/>
    <w:qFormat/>
    <w:rsid w:val="00750EC1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next w:val="LO-normal"/>
    <w:qFormat/>
    <w:rsid w:val="00750E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next w:val="LO-normal"/>
    <w:qFormat/>
    <w:rsid w:val="00750E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">
    <w:name w:val="Title"/>
    <w:basedOn w:val="Normal"/>
    <w:next w:val="Corpodetexto"/>
    <w:qFormat/>
    <w:rsid w:val="00750EC1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A47F27"/>
    <w:pPr>
      <w:spacing w:after="140" w:line="276" w:lineRule="auto"/>
    </w:pPr>
  </w:style>
  <w:style w:type="paragraph" w:styleId="Lista">
    <w:name w:val="List"/>
    <w:basedOn w:val="Corpodetexto"/>
    <w:rsid w:val="00A47F27"/>
    <w:rPr>
      <w:rFonts w:cs="Lucida Sans"/>
    </w:rPr>
  </w:style>
  <w:style w:type="paragraph" w:customStyle="1" w:styleId="Legenda1">
    <w:name w:val="Legenda1"/>
    <w:basedOn w:val="Normal"/>
    <w:qFormat/>
    <w:rsid w:val="00A47F27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A47F27"/>
    <w:pPr>
      <w:suppressLineNumbers/>
    </w:pPr>
    <w:rPr>
      <w:rFonts w:cs="Lucida Sans"/>
    </w:rPr>
  </w:style>
  <w:style w:type="paragraph" w:customStyle="1" w:styleId="LO-normal">
    <w:name w:val="LO-normal"/>
    <w:qFormat/>
    <w:rsid w:val="00750EC1"/>
    <w:pPr>
      <w:widowControl w:val="0"/>
    </w:pPr>
    <w:rPr>
      <w:sz w:val="24"/>
    </w:rPr>
  </w:style>
  <w:style w:type="paragraph" w:styleId="Subttulo">
    <w:name w:val="Subtitle"/>
    <w:basedOn w:val="LO-normal"/>
    <w:next w:val="LO-normal"/>
    <w:qFormat/>
    <w:rsid w:val="00750EC1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TableNormal">
    <w:name w:val="Table Normal"/>
    <w:rsid w:val="00750E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IFSULDEMINAS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Crecília Domingues</dc:creator>
  <dc:description/>
  <cp:lastModifiedBy>Crecília Domingues</cp:lastModifiedBy>
  <cp:revision>2</cp:revision>
  <dcterms:created xsi:type="dcterms:W3CDTF">2021-08-09T19:14:00Z</dcterms:created>
  <dcterms:modified xsi:type="dcterms:W3CDTF">2021-08-09T19:14:00Z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